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2F" w:rsidRDefault="00AC1A2F" w:rsidP="00AC1A2F">
      <w:pPr>
        <w:pStyle w:val="a0"/>
        <w:shd w:val="clear" w:color="auto" w:fill="FFFFFF"/>
        <w:jc w:val="right"/>
        <w:rPr>
          <w:lang w:val="ru-RU"/>
        </w:rPr>
      </w:pPr>
      <w:r>
        <w:rPr>
          <w:lang w:val="ru-RU"/>
        </w:rPr>
        <w:t xml:space="preserve">Полный текст см.: </w:t>
      </w:r>
      <w:hyperlink r:id="rId4" w:history="1">
        <w:r>
          <w:rPr>
            <w:rStyle w:val="Hyperlink"/>
            <w:lang w:val="ru-RU"/>
          </w:rPr>
          <w:t>http://www.digar.ee/arhiiv/et/perioodika?id=1928</w:t>
        </w:r>
      </w:hyperlink>
    </w:p>
    <w:p w:rsidR="00AC1A2F" w:rsidRDefault="00AC1A2F" w:rsidP="007153FB">
      <w:pPr>
        <w:pStyle w:val="a0"/>
        <w:shd w:val="clear" w:color="auto" w:fill="FFFFFF"/>
        <w:jc w:val="center"/>
        <w:rPr>
          <w:b/>
          <w:lang w:val="et-EE"/>
        </w:rPr>
      </w:pPr>
    </w:p>
    <w:p w:rsidR="007153FB" w:rsidRDefault="007153FB" w:rsidP="007153FB">
      <w:pPr>
        <w:pStyle w:val="a0"/>
        <w:shd w:val="clear" w:color="auto" w:fill="FFFFFF"/>
        <w:jc w:val="center"/>
        <w:rPr>
          <w:b/>
          <w:lang w:val="et-EE"/>
        </w:rPr>
      </w:pPr>
      <w:r>
        <w:rPr>
          <w:b/>
          <w:lang w:val="et-EE"/>
        </w:rPr>
        <w:t>1938</w:t>
      </w:r>
    </w:p>
    <w:p w:rsidR="007153FB" w:rsidRDefault="007153FB" w:rsidP="007153FB">
      <w:pPr>
        <w:pStyle w:val="a0"/>
        <w:shd w:val="clear" w:color="auto" w:fill="FFFFFF"/>
        <w:rPr>
          <w:rStyle w:val="a1"/>
          <w:b/>
          <w:lang w:val="ru-RU"/>
        </w:rPr>
      </w:pPr>
    </w:p>
    <w:p w:rsidR="007153FB" w:rsidRPr="007153FB" w:rsidRDefault="007153FB" w:rsidP="007153FB">
      <w:pPr>
        <w:pStyle w:val="a0"/>
        <w:shd w:val="clear" w:color="auto" w:fill="FFFFFF"/>
        <w:rPr>
          <w:b/>
          <w:lang w:val="et-EE"/>
        </w:rPr>
      </w:pPr>
      <w:r>
        <w:rPr>
          <w:rStyle w:val="a1"/>
          <w:b/>
          <w:lang w:val="ru-RU"/>
        </w:rPr>
        <w:t>Looming.</w:t>
      </w:r>
      <w:r>
        <w:rPr>
          <w:rStyle w:val="a1"/>
          <w:lang w:val="ru-RU"/>
        </w:rPr>
        <w:t xml:space="preserve"> 1938. </w:t>
      </w:r>
      <w:r>
        <w:rPr>
          <w:rStyle w:val="a1"/>
          <w:lang w:val="et-EE"/>
        </w:rPr>
        <w:t>1</w:t>
      </w:r>
      <w:r>
        <w:rPr>
          <w:rStyle w:val="a1"/>
          <w:lang w:val="ru-RU"/>
        </w:rPr>
        <w:t>6-й год издания.</w:t>
      </w:r>
    </w:p>
    <w:p w:rsidR="007153FB" w:rsidRDefault="007153FB" w:rsidP="007153FB">
      <w:pPr>
        <w:pStyle w:val="a0"/>
        <w:shd w:val="clear" w:color="auto" w:fill="FFFFFF"/>
        <w:rPr>
          <w:lang w:val="ru-RU"/>
        </w:rPr>
      </w:pPr>
      <w:r>
        <w:rPr>
          <w:lang w:val="ru-RU"/>
        </w:rPr>
        <w:t xml:space="preserve">Редакция: Антс </w:t>
      </w:r>
      <w:proofErr w:type="spellStart"/>
      <w:r>
        <w:rPr>
          <w:lang w:val="ru-RU"/>
        </w:rPr>
        <w:t>Антсон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 xml:space="preserve">, Густав Суйтс,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Сютисте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tab/>
        <w:t xml:space="preserve">Отв. ред.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>.</w:t>
      </w:r>
    </w:p>
    <w:p w:rsidR="007153FB" w:rsidRDefault="007153FB" w:rsidP="007153FB">
      <w:pPr>
        <w:pStyle w:val="a0"/>
        <w:shd w:val="clear" w:color="auto" w:fill="FFFFFF"/>
        <w:rPr>
          <w:lang w:val="ru-RU"/>
        </w:rPr>
      </w:pP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Eduard </w:t>
      </w:r>
      <w:proofErr w:type="spellStart"/>
      <w:r>
        <w:rPr>
          <w:rStyle w:val="a1"/>
          <w:b/>
          <w:lang w:val="et-EE"/>
        </w:rPr>
        <w:t>Reining</w:t>
      </w:r>
      <w:proofErr w:type="spellEnd"/>
      <w:r>
        <w:rPr>
          <w:rStyle w:val="a1"/>
          <w:b/>
          <w:lang w:val="et-EE"/>
        </w:rPr>
        <w:t xml:space="preserve">. </w:t>
      </w:r>
      <w:r>
        <w:rPr>
          <w:rStyle w:val="a1"/>
          <w:b/>
        </w:rPr>
        <w:t>Tallinna</w:t>
      </w:r>
      <w:r>
        <w:rPr>
          <w:rStyle w:val="a1"/>
          <w:b/>
          <w:lang w:val="ru-RU"/>
        </w:rPr>
        <w:t xml:space="preserve"> </w:t>
      </w:r>
      <w:proofErr w:type="spellStart"/>
      <w:r>
        <w:rPr>
          <w:rStyle w:val="a1"/>
          <w:b/>
        </w:rPr>
        <w:t>teatrielu</w:t>
      </w:r>
      <w:proofErr w:type="spellEnd"/>
      <w:r>
        <w:rPr>
          <w:rStyle w:val="a1"/>
          <w:b/>
          <w:lang w:val="ru-RU"/>
        </w:rPr>
        <w:t xml:space="preserve"> 1937</w:t>
      </w:r>
      <w:proofErr w:type="gramStart"/>
      <w:r>
        <w:rPr>
          <w:rStyle w:val="a1"/>
          <w:b/>
          <w:lang w:val="ru-RU"/>
        </w:rPr>
        <w:t>./</w:t>
      </w:r>
      <w:proofErr w:type="gramEnd"/>
      <w:r>
        <w:rPr>
          <w:rStyle w:val="a1"/>
          <w:b/>
          <w:lang w:val="ru-RU"/>
        </w:rPr>
        <w:t xml:space="preserve">38. </w:t>
      </w:r>
      <w:proofErr w:type="spellStart"/>
      <w:proofErr w:type="gramStart"/>
      <w:r>
        <w:rPr>
          <w:rStyle w:val="a1"/>
          <w:b/>
        </w:rPr>
        <w:t>hooajal</w:t>
      </w:r>
      <w:proofErr w:type="spellEnd"/>
      <w:proofErr w:type="gramEnd"/>
      <w:r>
        <w:rPr>
          <w:rStyle w:val="a1"/>
          <w:lang w:val="ru-RU"/>
        </w:rPr>
        <w:t xml:space="preserve">. = Эдуард </w:t>
      </w:r>
      <w:proofErr w:type="spellStart"/>
      <w:r>
        <w:rPr>
          <w:rStyle w:val="a1"/>
          <w:lang w:val="ru-RU"/>
        </w:rPr>
        <w:t>Рейнинг</w:t>
      </w:r>
      <w:proofErr w:type="spellEnd"/>
      <w:r>
        <w:rPr>
          <w:rStyle w:val="a1"/>
          <w:lang w:val="ru-RU"/>
        </w:rPr>
        <w:t xml:space="preserve">. Театральная жизнь Таллинна в сезон 1937/38 годов.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8</w:t>
      </w:r>
      <w:r>
        <w:rPr>
          <w:rStyle w:val="a1"/>
          <w:lang w:val="et-EE"/>
        </w:rPr>
        <w:t>. Nr. 1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(jaanuar). Lk. 107—112.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О постановке П. </w:t>
      </w:r>
      <w:proofErr w:type="spellStart"/>
      <w:r>
        <w:rPr>
          <w:rStyle w:val="a1"/>
          <w:lang w:val="ru-RU"/>
        </w:rPr>
        <w:t>Пылдрооса</w:t>
      </w:r>
      <w:proofErr w:type="spellEnd"/>
      <w:r>
        <w:rPr>
          <w:rStyle w:val="a1"/>
          <w:lang w:val="ru-RU"/>
        </w:rPr>
        <w:t xml:space="preserve"> театре комедии Серго Амаглобели (1898—1938) «Хорошая жизнь» (1934) в таллиннском Рабочем. Это пьеса из времени, когда в советской России в литературе и театре доминировали формалистические тенденции. Хвалит спектакль, взявшего на вооружение динамическую музыкально-карнавальную с грубоватым юмором версию московских режиссеров Охлопкова и Мейерхольда. Режиссер-постановщик использовал их опыт в полной мере. В конце статьи </w:t>
      </w:r>
      <w:proofErr w:type="spellStart"/>
      <w:r>
        <w:rPr>
          <w:rStyle w:val="a1"/>
          <w:lang w:val="ru-RU"/>
        </w:rPr>
        <w:t>Рейнинг</w:t>
      </w:r>
      <w:proofErr w:type="spellEnd"/>
      <w:r>
        <w:rPr>
          <w:rStyle w:val="a1"/>
          <w:lang w:val="ru-RU"/>
        </w:rPr>
        <w:t xml:space="preserve"> подводит итог поискам эстонского театра последнего десятилетия. Он признает, что использованы все известные методы театральных постановок, но главенствующее направление – это режиссерский театр. Цитирует слова А. Таирова из «Записок режиссера» (1921) о сравнении актера не со скрипкой Страдивари, а с балалайкой в три струны.</w:t>
      </w:r>
      <w:r>
        <w:rPr>
          <w:rStyle w:val="a1"/>
          <w:lang w:val="et-EE"/>
        </w:rPr>
        <w:t>]</w:t>
      </w:r>
    </w:p>
    <w:p w:rsidR="007153FB" w:rsidRDefault="007153FB" w:rsidP="007153FB">
      <w:pPr>
        <w:pStyle w:val="a0"/>
        <w:shd w:val="clear" w:color="auto" w:fill="FFFFFF"/>
        <w:rPr>
          <w:lang w:val="et-EE"/>
        </w:rPr>
      </w:pP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Oskar </w:t>
      </w:r>
      <w:proofErr w:type="spellStart"/>
      <w:r>
        <w:rPr>
          <w:rStyle w:val="a1"/>
          <w:b/>
          <w:lang w:val="et-EE"/>
        </w:rPr>
        <w:t>Urgart</w:t>
      </w:r>
      <w:proofErr w:type="spellEnd"/>
      <w:r>
        <w:rPr>
          <w:rStyle w:val="a1"/>
          <w:b/>
          <w:lang w:val="et-EE"/>
        </w:rPr>
        <w:t>. Kirjanduse osatähtsusest eesti vanemais ajalehis</w:t>
      </w:r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= Оскар </w:t>
      </w:r>
      <w:proofErr w:type="spellStart"/>
      <w:r>
        <w:rPr>
          <w:rStyle w:val="a1"/>
          <w:lang w:val="ru-RU"/>
        </w:rPr>
        <w:t>Ургарт</w:t>
      </w:r>
      <w:proofErr w:type="spellEnd"/>
      <w:r>
        <w:rPr>
          <w:rStyle w:val="a1"/>
          <w:lang w:val="ru-RU"/>
        </w:rPr>
        <w:t>. О важности литературы в эстонских старейших газетах</w:t>
      </w:r>
      <w:r>
        <w:rPr>
          <w:rStyle w:val="a1"/>
          <w:lang w:val="et-EE"/>
        </w:rPr>
        <w:t>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8</w:t>
      </w:r>
      <w:r>
        <w:rPr>
          <w:rStyle w:val="a1"/>
          <w:lang w:val="et-EE"/>
        </w:rPr>
        <w:t xml:space="preserve">. Nr. </w:t>
      </w:r>
      <w:r>
        <w:rPr>
          <w:rStyle w:val="a1"/>
          <w:lang w:val="ru-RU"/>
        </w:rPr>
        <w:t xml:space="preserve">5 </w:t>
      </w:r>
      <w:r>
        <w:rPr>
          <w:rStyle w:val="a1"/>
          <w:lang w:val="et-EE"/>
        </w:rPr>
        <w:t>(mai). Lk. 564—570.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Описывает предшествующий период эпохи «Молодой Эстонии». О развитии вкуса к литературе в эстонских читателях </w:t>
      </w:r>
      <w:r>
        <w:rPr>
          <w:rStyle w:val="a1"/>
          <w:lang w:val="et-EE"/>
        </w:rPr>
        <w:t xml:space="preserve">XIX </w:t>
      </w:r>
      <w:r>
        <w:rPr>
          <w:rStyle w:val="a1"/>
          <w:lang w:val="ru-RU"/>
        </w:rPr>
        <w:t xml:space="preserve">века посредством эстонских газет, в которых, помимо эстонских писателей, печаталось много переводов из немецкой, а позже из русской литературы. В прошлом памятном пушкинском юбилее был поднят вопрос о переводах из Пушкина. Но переводили и других русских писателей, прежде всего, Крылова, Гоголя, Лермонтова, а также Кольцова, Жуковского, Майкова, Никитина и др. Позже обратились к Тургеневу, Чехову, Гаршину, Андрееву. На страницах эстонских газет можно познакомиться и с переводами творчества Толстого, в подвале печатался «Война и мир». В газетах </w:t>
      </w:r>
      <w:r>
        <w:rPr>
          <w:rStyle w:val="a1"/>
          <w:lang w:val="et-EE"/>
        </w:rPr>
        <w:t>„</w:t>
      </w:r>
      <w:proofErr w:type="gramStart"/>
      <w:r>
        <w:rPr>
          <w:rStyle w:val="a1"/>
          <w:lang w:val="et-EE"/>
        </w:rPr>
        <w:t xml:space="preserve">Postimees“ </w:t>
      </w:r>
      <w:r>
        <w:rPr>
          <w:rStyle w:val="a1"/>
          <w:lang w:val="ru-RU"/>
        </w:rPr>
        <w:t>и</w:t>
      </w:r>
      <w:proofErr w:type="gramEnd"/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„Elu“</w:t>
      </w:r>
      <w:r>
        <w:rPr>
          <w:rStyle w:val="a1"/>
          <w:lang w:val="ru-RU"/>
        </w:rPr>
        <w:t xml:space="preserve"> в 1907 г. был опубликован роман Мережковского «Петр и Алексей» (Антихрист) и «Юлиан Отступник»</w:t>
      </w:r>
      <w:r>
        <w:rPr>
          <w:rStyle w:val="a1"/>
          <w:lang w:val="et-EE"/>
        </w:rPr>
        <w:t xml:space="preserve"> (</w:t>
      </w:r>
      <w:r>
        <w:rPr>
          <w:rStyle w:val="a1"/>
          <w:i/>
          <w:lang w:val="et-EE"/>
        </w:rPr>
        <w:t>Julianus taganeja</w:t>
      </w:r>
      <w:r>
        <w:rPr>
          <w:rStyle w:val="a1"/>
          <w:lang w:val="et-EE"/>
        </w:rPr>
        <w:t>)</w:t>
      </w:r>
      <w:r>
        <w:rPr>
          <w:rStyle w:val="a1"/>
          <w:lang w:val="ru-RU"/>
        </w:rPr>
        <w:t xml:space="preserve">. Имеются переводы из </w:t>
      </w:r>
      <w:proofErr w:type="spellStart"/>
      <w:r>
        <w:rPr>
          <w:rStyle w:val="a1"/>
          <w:lang w:val="ru-RU"/>
        </w:rPr>
        <w:t>Шеллера</w:t>
      </w:r>
      <w:proofErr w:type="spellEnd"/>
      <w:r>
        <w:rPr>
          <w:rStyle w:val="a1"/>
          <w:lang w:val="ru-RU"/>
        </w:rPr>
        <w:t>-Михайловского,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>только романы Достоевского в связи со сложностью перевода и как бы отодвинутости его имени на задний план в контексте тогдашней истории русской литературы не нашел отражения в эстонских газетах.</w:t>
      </w:r>
      <w:r>
        <w:rPr>
          <w:rStyle w:val="a1"/>
          <w:lang w:val="et-EE"/>
        </w:rPr>
        <w:t>]</w:t>
      </w:r>
    </w:p>
    <w:p w:rsidR="007153FB" w:rsidRDefault="007153FB" w:rsidP="007153FB">
      <w:pPr>
        <w:pStyle w:val="a0"/>
        <w:shd w:val="clear" w:color="auto" w:fill="FFFFFF"/>
        <w:rPr>
          <w:lang w:val="et-EE"/>
        </w:rPr>
      </w:pP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Eduard </w:t>
      </w:r>
      <w:proofErr w:type="spellStart"/>
      <w:r>
        <w:rPr>
          <w:rStyle w:val="a1"/>
          <w:b/>
          <w:lang w:val="et-EE"/>
        </w:rPr>
        <w:t>Reining</w:t>
      </w:r>
      <w:proofErr w:type="spellEnd"/>
      <w:r>
        <w:rPr>
          <w:rStyle w:val="a1"/>
          <w:b/>
          <w:lang w:val="et-EE"/>
        </w:rPr>
        <w:t>. Tallinna teatrielu 1937./38. hooaja teine pool</w:t>
      </w:r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= Эдуард </w:t>
      </w:r>
      <w:proofErr w:type="spellStart"/>
      <w:r>
        <w:rPr>
          <w:rStyle w:val="a1"/>
          <w:lang w:val="ru-RU"/>
        </w:rPr>
        <w:t>Рейнинг</w:t>
      </w:r>
      <w:proofErr w:type="spellEnd"/>
      <w:r>
        <w:rPr>
          <w:rStyle w:val="a1"/>
          <w:lang w:val="ru-RU"/>
        </w:rPr>
        <w:t xml:space="preserve">. Театральная жизнь Таллинна второй половины сезона 1937/38 годов.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8</w:t>
      </w:r>
      <w:r>
        <w:rPr>
          <w:rStyle w:val="a1"/>
          <w:lang w:val="et-EE"/>
        </w:rPr>
        <w:t xml:space="preserve">. Nr. </w:t>
      </w:r>
      <w:r>
        <w:rPr>
          <w:rStyle w:val="a1"/>
          <w:lang w:val="ru-RU"/>
        </w:rPr>
        <w:t xml:space="preserve">6 </w:t>
      </w:r>
      <w:r>
        <w:rPr>
          <w:rStyle w:val="a1"/>
          <w:lang w:val="et-EE"/>
        </w:rPr>
        <w:t>(august). Lk. 107—112.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lastRenderedPageBreak/>
        <w:t>[</w:t>
      </w:r>
      <w:r>
        <w:rPr>
          <w:rStyle w:val="a1"/>
          <w:lang w:val="ru-RU"/>
        </w:rPr>
        <w:t>О постановке в Эстонском драматическом театре Э. Тюрком пьесы В. Гусева «Слава» (с.713), написанной по заказу московского театра Красной армии. Главный герой жизнерадостный военный инженер Мотыльков рискует жизнью в рабочем порядке, а не для славы. Рецензент говорит о неровном стихотворном переводе и неумении некоторых артистов читать поэтический текст, произнося его как прозу, хотя прозаизмов в тексте Гусева-публициста достаточно. Эти диссонансы, как и затянутость финала, нарушали целостность восприятия спектакля.</w:t>
      </w:r>
      <w:r>
        <w:rPr>
          <w:rStyle w:val="a1"/>
          <w:lang w:val="et-EE"/>
        </w:rPr>
        <w:t>]</w:t>
      </w:r>
    </w:p>
    <w:p w:rsidR="007153FB" w:rsidRDefault="007153FB" w:rsidP="007153FB">
      <w:pPr>
        <w:pStyle w:val="a0"/>
        <w:shd w:val="clear" w:color="auto" w:fill="FFFFFF"/>
        <w:rPr>
          <w:lang w:val="et-EE"/>
        </w:rPr>
      </w:pPr>
    </w:p>
    <w:p w:rsidR="007153FB" w:rsidRDefault="007153FB" w:rsidP="007153FB">
      <w:pPr>
        <w:pStyle w:val="a0"/>
        <w:shd w:val="clear" w:color="auto" w:fill="FFFFFF"/>
      </w:pPr>
      <w:proofErr w:type="spellStart"/>
      <w:r>
        <w:rPr>
          <w:rStyle w:val="a1"/>
          <w:b/>
          <w:lang w:val="et-EE"/>
        </w:rPr>
        <w:t>André</w:t>
      </w:r>
      <w:proofErr w:type="spellEnd"/>
      <w:r>
        <w:rPr>
          <w:rStyle w:val="a1"/>
          <w:b/>
          <w:lang w:val="et-EE"/>
        </w:rPr>
        <w:t xml:space="preserve"> </w:t>
      </w:r>
      <w:proofErr w:type="spellStart"/>
      <w:r>
        <w:rPr>
          <w:rStyle w:val="a1"/>
          <w:b/>
          <w:lang w:val="et-EE"/>
        </w:rPr>
        <w:t>Suarés</w:t>
      </w:r>
      <w:proofErr w:type="spellEnd"/>
      <w:r>
        <w:rPr>
          <w:rStyle w:val="a1"/>
          <w:b/>
          <w:lang w:val="et-EE"/>
        </w:rPr>
        <w:t xml:space="preserve"> Et mõista Dostojevskit</w:t>
      </w:r>
      <w:r>
        <w:rPr>
          <w:rStyle w:val="a1"/>
          <w:lang w:val="et-EE"/>
        </w:rPr>
        <w:t xml:space="preserve">. Tõlk. A. </w:t>
      </w:r>
      <w:proofErr w:type="spellStart"/>
      <w:r>
        <w:rPr>
          <w:rStyle w:val="a1"/>
          <w:lang w:val="et-EE"/>
        </w:rPr>
        <w:t>Aspel</w:t>
      </w:r>
      <w:proofErr w:type="spellEnd"/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= Андре Суаре. Чтобы понять Достоевского. Перевод с фр. А. </w:t>
      </w:r>
      <w:proofErr w:type="spellStart"/>
      <w:r>
        <w:rPr>
          <w:rStyle w:val="a1"/>
          <w:lang w:val="ru-RU"/>
        </w:rPr>
        <w:t>Аспель</w:t>
      </w:r>
      <w:proofErr w:type="spellEnd"/>
      <w:r>
        <w:rPr>
          <w:rStyle w:val="a1"/>
          <w:lang w:val="ru-RU"/>
        </w:rPr>
        <w:t xml:space="preserve">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1938. Nr 8 (oktoober). Lk. 904—908.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Перевод с фр. эссе Андре Суаре «Чтобы понять Достоевского» иллюстрирует статью об эссе в </w:t>
      </w:r>
      <w:proofErr w:type="spellStart"/>
      <w:r>
        <w:rPr>
          <w:rStyle w:val="a1"/>
          <w:lang w:val="ru-RU"/>
        </w:rPr>
        <w:t>Лооминге</w:t>
      </w:r>
      <w:proofErr w:type="spellEnd"/>
      <w:r>
        <w:rPr>
          <w:rStyle w:val="a1"/>
          <w:lang w:val="ru-RU"/>
        </w:rPr>
        <w:t xml:space="preserve"> за сентябрь</w:t>
      </w:r>
      <w:r>
        <w:rPr>
          <w:rStyle w:val="a1"/>
          <w:lang w:val="et-EE"/>
        </w:rPr>
        <w:t xml:space="preserve"> (</w:t>
      </w:r>
      <w:r>
        <w:rPr>
          <w:rStyle w:val="a1"/>
          <w:lang w:val="ru-RU"/>
        </w:rPr>
        <w:t xml:space="preserve">см.: </w:t>
      </w:r>
      <w:r>
        <w:rPr>
          <w:rStyle w:val="a1"/>
          <w:lang w:val="et-EE"/>
        </w:rPr>
        <w:t>A.</w:t>
      </w:r>
      <w:r>
        <w:rPr>
          <w:rStyle w:val="a1"/>
          <w:lang w:val="ru-RU"/>
        </w:rPr>
        <w:t xml:space="preserve"> </w:t>
      </w:r>
      <w:proofErr w:type="spellStart"/>
      <w:r>
        <w:rPr>
          <w:rStyle w:val="a1"/>
          <w:lang w:val="et-EE"/>
        </w:rPr>
        <w:t>Aspel</w:t>
      </w:r>
      <w:proofErr w:type="spellEnd"/>
      <w:r>
        <w:rPr>
          <w:rStyle w:val="a1"/>
          <w:lang w:val="et-EE"/>
        </w:rPr>
        <w:t>, Esseest, lk.795—796)</w:t>
      </w:r>
      <w:r>
        <w:rPr>
          <w:rStyle w:val="a1"/>
          <w:lang w:val="ru-RU"/>
        </w:rPr>
        <w:t xml:space="preserve">, где дается краткая характеристика его творчества. Чем дальше уходит в прошлое фигура Достоевского тем значительнее кажется его творчество. Его мысль покрывает будущие царства, где будут духовные развалины и пустыни, как гора возвысится его мысль, покрыв все пространство. В романе «Бесы» он предсказал все русские революции. Когда Кириллов говорит: Я не понимаю, как можно думать: «Бога нет», и, не думая, тотчас: «Я </w:t>
      </w:r>
      <w:r>
        <w:rPr>
          <w:rStyle w:val="a1"/>
          <w:lang w:val="et-EE"/>
        </w:rPr>
        <w:t>—</w:t>
      </w:r>
      <w:r>
        <w:rPr>
          <w:rStyle w:val="a1"/>
          <w:lang w:val="ru-RU"/>
        </w:rPr>
        <w:t xml:space="preserve"> Бог» </w:t>
      </w:r>
      <w:r>
        <w:rPr>
          <w:rStyle w:val="a1"/>
          <w:lang w:val="et-EE"/>
        </w:rPr>
        <w:t>—</w:t>
      </w:r>
      <w:r>
        <w:rPr>
          <w:rStyle w:val="a1"/>
          <w:lang w:val="ru-RU"/>
        </w:rPr>
        <w:t xml:space="preserve"> он говорит от лица всех революционеров и тех, кто отрицает. Чтобы понять Достоевского, нужно много страдать. О силе и слабости героев Достоевского. Экскурс в понятие «вера» и о миссии России в спасении мира. Ставрогин и князь Мышкин – два полюса человека Достоевского. Соня, Хватов, Алеша и Мышкин – другие. Лично Достоевский и тот, и другой. В «Карамазовых» оба полюса сливаются. </w:t>
      </w:r>
      <w:r>
        <w:rPr>
          <w:rStyle w:val="a1"/>
          <w:lang w:val="et-EE"/>
        </w:rPr>
        <w:t>]</w:t>
      </w:r>
    </w:p>
    <w:p w:rsidR="007153FB" w:rsidRDefault="007153FB" w:rsidP="007153FB">
      <w:pPr>
        <w:pStyle w:val="a0"/>
        <w:shd w:val="clear" w:color="auto" w:fill="FFFFFF"/>
        <w:rPr>
          <w:lang w:val="et-EE"/>
        </w:rPr>
      </w:pP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Jüri Šumakov. </w:t>
      </w:r>
      <w:proofErr w:type="spellStart"/>
      <w:r>
        <w:rPr>
          <w:rStyle w:val="a1"/>
          <w:b/>
          <w:lang w:val="et-EE"/>
        </w:rPr>
        <w:t>Nüüdisvene</w:t>
      </w:r>
      <w:proofErr w:type="spellEnd"/>
      <w:r>
        <w:rPr>
          <w:rStyle w:val="a1"/>
          <w:b/>
          <w:lang w:val="et-EE"/>
        </w:rPr>
        <w:t xml:space="preserve"> romaanist</w:t>
      </w:r>
      <w:r>
        <w:rPr>
          <w:rStyle w:val="a1"/>
          <w:lang w:val="et-EE"/>
        </w:rPr>
        <w:t xml:space="preserve">. = Юрий </w:t>
      </w:r>
      <w:proofErr w:type="spellStart"/>
      <w:r>
        <w:rPr>
          <w:rStyle w:val="a1"/>
          <w:lang w:val="et-EE"/>
        </w:rPr>
        <w:t>Шумаков</w:t>
      </w:r>
      <w:proofErr w:type="spellEnd"/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О современном русском романе.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8</w:t>
      </w:r>
      <w:r>
        <w:rPr>
          <w:rStyle w:val="a1"/>
          <w:lang w:val="et-EE"/>
        </w:rPr>
        <w:t xml:space="preserve">. Nr. </w:t>
      </w:r>
      <w:r>
        <w:rPr>
          <w:rStyle w:val="a1"/>
          <w:lang w:val="ru-RU"/>
        </w:rPr>
        <w:t xml:space="preserve">8 </w:t>
      </w:r>
      <w:r>
        <w:rPr>
          <w:rStyle w:val="a1"/>
          <w:lang w:val="et-EE"/>
        </w:rPr>
        <w:t>(oktoober). Lk. 1008—10</w:t>
      </w:r>
      <w:r>
        <w:rPr>
          <w:rStyle w:val="a1"/>
          <w:lang w:val="ru-RU"/>
        </w:rPr>
        <w:t>1</w:t>
      </w:r>
      <w:r>
        <w:rPr>
          <w:rStyle w:val="a1"/>
          <w:lang w:val="et-EE"/>
        </w:rPr>
        <w:t>6.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Обзор статуса и творчества советских писателей (Шолохов, Толстой). Об исторических романах Новикова-Прибоя «Цусима», В. Катаева «Белеет парус одинокий» (</w:t>
      </w:r>
      <w:r>
        <w:rPr>
          <w:rStyle w:val="a1"/>
          <w:i/>
          <w:lang w:val="et-EE"/>
        </w:rPr>
        <w:t>Valendab üksildane puri</w:t>
      </w:r>
      <w:r>
        <w:rPr>
          <w:rStyle w:val="a1"/>
          <w:lang w:val="et-EE"/>
        </w:rPr>
        <w:t>…)</w:t>
      </w:r>
      <w:r>
        <w:rPr>
          <w:rStyle w:val="a1"/>
          <w:lang w:val="ru-RU"/>
        </w:rPr>
        <w:t xml:space="preserve">, М. Горького «Клим Самгин» и «Дело Артамоновых, А. Толстого «Петр 1», а также о произведениях Ольги </w:t>
      </w:r>
      <w:proofErr w:type="spellStart"/>
      <w:r>
        <w:rPr>
          <w:rStyle w:val="a1"/>
          <w:lang w:val="ru-RU"/>
        </w:rPr>
        <w:t>Форш</w:t>
      </w:r>
      <w:proofErr w:type="spellEnd"/>
      <w:r>
        <w:rPr>
          <w:rStyle w:val="a1"/>
          <w:lang w:val="ru-RU"/>
        </w:rPr>
        <w:t xml:space="preserve"> и Артема Веселого. Особо останавливается на книге Ю. Тынянова «Конец Визир-</w:t>
      </w:r>
      <w:proofErr w:type="spellStart"/>
      <w:r>
        <w:rPr>
          <w:rStyle w:val="a1"/>
          <w:lang w:val="ru-RU"/>
        </w:rPr>
        <w:t>Мухтара</w:t>
      </w:r>
      <w:proofErr w:type="spellEnd"/>
      <w:r>
        <w:rPr>
          <w:rStyle w:val="a1"/>
          <w:lang w:val="ru-RU"/>
        </w:rPr>
        <w:t xml:space="preserve">». О книгах, посвященных гражданской войне и статических героях (Павел Корчагин, Чапаев, Пугачев, Стенька Разин и пр.). Роман Ал. Толстого «Хлеб». Из новых романов, посвященных современности – пятилеткам, стахановцам, колхозникам, выделяется </w:t>
      </w:r>
      <w:r w:rsidR="00AC1A2F">
        <w:rPr>
          <w:rStyle w:val="a1"/>
          <w:lang w:val="et-EE"/>
        </w:rPr>
        <w:t>„</w:t>
      </w:r>
      <w:r w:rsidR="00AC1A2F">
        <w:rPr>
          <w:rStyle w:val="a1"/>
          <w:lang w:val="ru-RU"/>
        </w:rPr>
        <w:t>Поднятая целина»</w:t>
      </w:r>
      <w:r w:rsidR="00AC1A2F">
        <w:rPr>
          <w:rStyle w:val="a1"/>
          <w:lang w:val="ru-RU"/>
        </w:rPr>
        <w:t xml:space="preserve"> М.</w:t>
      </w:r>
      <w:r w:rsidR="00AC1A2F">
        <w:rPr>
          <w:rStyle w:val="a1"/>
          <w:lang w:val="ru-RU"/>
        </w:rPr>
        <w:t xml:space="preserve"> </w:t>
      </w:r>
      <w:r>
        <w:rPr>
          <w:rStyle w:val="a1"/>
          <w:lang w:val="ru-RU"/>
        </w:rPr>
        <w:t>Шолохов</w:t>
      </w:r>
      <w:r w:rsidR="00AC1A2F">
        <w:rPr>
          <w:rStyle w:val="a1"/>
          <w:lang w:val="ru-RU"/>
        </w:rPr>
        <w:t>а. Далее говорится об</w:t>
      </w:r>
      <w:r>
        <w:rPr>
          <w:rStyle w:val="a1"/>
          <w:lang w:val="ru-RU"/>
        </w:rPr>
        <w:t xml:space="preserve"> автобиографическом романе Александра Авдиенко «Я люблю». Вне общего потока советской литературы стоит Илья Эренбург со всеми своими романами и последним «Что человеку надо». </w:t>
      </w:r>
      <w:r w:rsidR="00AC1A2F">
        <w:rPr>
          <w:rStyle w:val="a1"/>
          <w:lang w:val="ru-RU"/>
        </w:rPr>
        <w:t>Как проходные</w:t>
      </w:r>
      <w:r>
        <w:rPr>
          <w:rStyle w:val="a1"/>
          <w:lang w:val="ru-RU"/>
        </w:rPr>
        <w:t xml:space="preserve"> упомина</w:t>
      </w:r>
      <w:r w:rsidR="00AC1A2F">
        <w:rPr>
          <w:rStyle w:val="a1"/>
          <w:lang w:val="ru-RU"/>
        </w:rPr>
        <w:t>ются</w:t>
      </w:r>
      <w:r>
        <w:rPr>
          <w:rStyle w:val="a1"/>
          <w:lang w:val="ru-RU"/>
        </w:rPr>
        <w:t xml:space="preserve"> таки</w:t>
      </w:r>
      <w:r w:rsidR="00AC1A2F">
        <w:rPr>
          <w:rStyle w:val="a1"/>
          <w:lang w:val="ru-RU"/>
        </w:rPr>
        <w:t>е</w:t>
      </w:r>
      <w:r>
        <w:rPr>
          <w:rStyle w:val="a1"/>
          <w:lang w:val="ru-RU"/>
        </w:rPr>
        <w:t xml:space="preserve"> жанр</w:t>
      </w:r>
      <w:r w:rsidR="00AC1A2F">
        <w:rPr>
          <w:rStyle w:val="a1"/>
          <w:lang w:val="ru-RU"/>
        </w:rPr>
        <w:t>ы,</w:t>
      </w:r>
      <w:r>
        <w:rPr>
          <w:rStyle w:val="a1"/>
          <w:lang w:val="ru-RU"/>
        </w:rPr>
        <w:t xml:space="preserve"> как автобиография, путевые заметки, воспоминания, но все же общее направление – это движение к классической романной форме Диккенса и Толстого.]</w:t>
      </w:r>
    </w:p>
    <w:p w:rsidR="007153FB" w:rsidRDefault="007153FB" w:rsidP="007153FB">
      <w:pPr>
        <w:pStyle w:val="a0"/>
        <w:shd w:val="clear" w:color="auto" w:fill="FFFFFF"/>
        <w:rPr>
          <w:lang w:val="ru-RU"/>
        </w:rPr>
      </w:pPr>
    </w:p>
    <w:p w:rsidR="007153FB" w:rsidRDefault="007153FB" w:rsidP="007153FB">
      <w:pPr>
        <w:pStyle w:val="a0"/>
        <w:shd w:val="clear" w:color="auto" w:fill="FFFFFF"/>
      </w:pPr>
      <w:r>
        <w:rPr>
          <w:b/>
        </w:rPr>
        <w:t xml:space="preserve">R. </w:t>
      </w:r>
      <w:proofErr w:type="spellStart"/>
      <w:r>
        <w:rPr>
          <w:b/>
        </w:rPr>
        <w:t>Nurkse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Kahtlustatud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mõistus</w:t>
      </w:r>
      <w:proofErr w:type="spellEnd"/>
      <w:r>
        <w:rPr>
          <w:lang w:val="ru-RU"/>
        </w:rPr>
        <w:t>.</w:t>
      </w:r>
      <w:r>
        <w:t xml:space="preserve"> </w:t>
      </w:r>
      <w:r>
        <w:rPr>
          <w:lang w:val="ru-RU"/>
        </w:rPr>
        <w:t xml:space="preserve">= Сомневающийся разум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t>8</w:t>
      </w:r>
      <w:r>
        <w:rPr>
          <w:rStyle w:val="a1"/>
          <w:lang w:val="et-EE"/>
        </w:rPr>
        <w:t xml:space="preserve">. Nr. </w:t>
      </w:r>
      <w:proofErr w:type="gramStart"/>
      <w:r>
        <w:t>9</w:t>
      </w:r>
      <w:proofErr w:type="gramEnd"/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</w:t>
      </w:r>
      <w:r w:rsidR="00AC1A2F">
        <w:rPr>
          <w:rStyle w:val="a1"/>
          <w:lang w:val="et-EE"/>
        </w:rPr>
        <w:t>November</w:t>
      </w:r>
      <w:r>
        <w:rPr>
          <w:rStyle w:val="a1"/>
          <w:lang w:val="et-EE"/>
        </w:rPr>
        <w:t>). Lk. 1034—10</w:t>
      </w:r>
      <w:r>
        <w:t>40</w:t>
      </w:r>
      <w:r>
        <w:rPr>
          <w:lang w:val="et-EE"/>
        </w:rPr>
        <w:t>; Nr</w:t>
      </w:r>
      <w:r>
        <w:rPr>
          <w:rStyle w:val="a1"/>
          <w:lang w:val="et-EE"/>
        </w:rPr>
        <w:t>. 10 (detsember). Lk. 1101—1114.</w:t>
      </w:r>
    </w:p>
    <w:p w:rsidR="007153FB" w:rsidRDefault="007153FB" w:rsidP="007153FB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Эссе о современном состоянии философии после Декарта, </w:t>
      </w:r>
      <w:proofErr w:type="spellStart"/>
      <w:r>
        <w:rPr>
          <w:rStyle w:val="a1"/>
          <w:lang w:val="ru-RU"/>
        </w:rPr>
        <w:t>Дильтея</w:t>
      </w:r>
      <w:proofErr w:type="spellEnd"/>
      <w:r>
        <w:rPr>
          <w:rStyle w:val="a1"/>
          <w:lang w:val="ru-RU"/>
        </w:rPr>
        <w:t xml:space="preserve"> и Шопенгауэра. Для установления диагноза реферируется немецкое издание труда современного российского </w:t>
      </w:r>
      <w:r>
        <w:rPr>
          <w:rStyle w:val="a1"/>
          <w:lang w:val="ru-RU"/>
        </w:rPr>
        <w:lastRenderedPageBreak/>
        <w:t>философа в изгнании Николая Бердя</w:t>
      </w:r>
      <w:bookmarkStart w:id="0" w:name="_GoBack"/>
      <w:bookmarkEnd w:id="0"/>
      <w:r>
        <w:rPr>
          <w:rStyle w:val="a1"/>
          <w:lang w:val="ru-RU"/>
        </w:rPr>
        <w:t xml:space="preserve">ева </w:t>
      </w:r>
      <w:proofErr w:type="spellStart"/>
      <w:r>
        <w:rPr>
          <w:rStyle w:val="a1"/>
          <w:i/>
          <w:lang w:val="et-EE"/>
        </w:rPr>
        <w:t>Das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Schi</w:t>
      </w:r>
      <w:proofErr w:type="spellEnd"/>
      <w:r>
        <w:rPr>
          <w:rStyle w:val="a1"/>
          <w:i/>
          <w:lang w:val="ru-RU"/>
        </w:rPr>
        <w:t>с</w:t>
      </w:r>
      <w:proofErr w:type="spellStart"/>
      <w:r>
        <w:rPr>
          <w:rStyle w:val="a1"/>
          <w:i/>
          <w:lang w:val="et-EE"/>
        </w:rPr>
        <w:t>ksal</w:t>
      </w:r>
      <w:proofErr w:type="spellEnd"/>
      <w:r>
        <w:rPr>
          <w:rStyle w:val="a1"/>
          <w:i/>
          <w:lang w:val="et-EE"/>
        </w:rPr>
        <w:t xml:space="preserve"> des </w:t>
      </w:r>
      <w:proofErr w:type="spellStart"/>
      <w:r>
        <w:rPr>
          <w:rStyle w:val="a1"/>
          <w:i/>
          <w:lang w:val="et-EE"/>
        </w:rPr>
        <w:t>Menschen</w:t>
      </w:r>
      <w:proofErr w:type="spellEnd"/>
      <w:r>
        <w:rPr>
          <w:rStyle w:val="a1"/>
          <w:i/>
          <w:lang w:val="et-EE"/>
        </w:rPr>
        <w:t xml:space="preserve"> ins </w:t>
      </w:r>
      <w:proofErr w:type="spellStart"/>
      <w:r>
        <w:rPr>
          <w:rStyle w:val="a1"/>
          <w:i/>
          <w:lang w:val="et-EE"/>
        </w:rPr>
        <w:t>unserer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Zeit</w:t>
      </w:r>
      <w:proofErr w:type="spellEnd"/>
      <w:r>
        <w:rPr>
          <w:rStyle w:val="a1"/>
          <w:lang w:val="ru-RU"/>
        </w:rPr>
        <w:t xml:space="preserve"> (</w:t>
      </w:r>
      <w:proofErr w:type="spellStart"/>
      <w:r>
        <w:rPr>
          <w:rStyle w:val="a1"/>
          <w:lang w:val="et-EE"/>
        </w:rPr>
        <w:t>Lüzern</w:t>
      </w:r>
      <w:proofErr w:type="spellEnd"/>
      <w:r>
        <w:rPr>
          <w:rStyle w:val="a1"/>
          <w:lang w:val="et-EE"/>
        </w:rPr>
        <w:t xml:space="preserve">, 1935. </w:t>
      </w:r>
      <w:r>
        <w:rPr>
          <w:rStyle w:val="a1"/>
          <w:lang w:val="ru-RU"/>
        </w:rPr>
        <w:t>«Судьба человека в современном мире»). Он дает следующую характеристику современной ситуации. То, что происходит в настоящее время не только кризис истории, но и ее суд и переоценка ценностей. Прервалась связь времен, наступило новое средневековье. Не только человек, но целые классы и сословия подверглись уничтожению. Но именно теперь после Мировой войны можно оценить и власть истории, и ее границы.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Она раскрыла границы гуманности и культуры, сила которых поверхностна. Война погубила веру в Бога и человека, в равенство людей, выдвинув вперед интересы нации и расы. Элитная культура аристократии заменилась «социальным заказом». Восстановление гуманизма в обществе Бердяев видит в религии (новом христианстве) и в духовном совершенствовании индивида (персонализм) (с. 1035—1037). Далее реферируются взгляды германского философа в изгнании Х. </w:t>
      </w:r>
      <w:proofErr w:type="spellStart"/>
      <w:r>
        <w:rPr>
          <w:rStyle w:val="a1"/>
          <w:lang w:val="ru-RU"/>
        </w:rPr>
        <w:t>Плесснера</w:t>
      </w:r>
      <w:proofErr w:type="spellEnd"/>
      <w:r>
        <w:rPr>
          <w:rStyle w:val="a1"/>
          <w:lang w:val="ru-RU"/>
        </w:rPr>
        <w:t xml:space="preserve"> (</w:t>
      </w:r>
      <w:proofErr w:type="spellStart"/>
      <w:r>
        <w:rPr>
          <w:rStyle w:val="a1"/>
          <w:i/>
          <w:lang w:val="et-EE"/>
        </w:rPr>
        <w:t>Das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Schicksal</w:t>
      </w:r>
      <w:proofErr w:type="spellEnd"/>
      <w:r>
        <w:rPr>
          <w:rStyle w:val="a1"/>
          <w:i/>
          <w:lang w:val="et-EE"/>
        </w:rPr>
        <w:t xml:space="preserve"> des </w:t>
      </w:r>
      <w:proofErr w:type="spellStart"/>
      <w:r>
        <w:rPr>
          <w:rStyle w:val="a1"/>
          <w:i/>
          <w:lang w:val="et-EE"/>
        </w:rPr>
        <w:t>deutschen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Geistes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im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Ausgag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seines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bürgerlichen</w:t>
      </w:r>
      <w:proofErr w:type="spellEnd"/>
      <w:r>
        <w:rPr>
          <w:rStyle w:val="a1"/>
          <w:i/>
          <w:lang w:val="et-EE"/>
        </w:rPr>
        <w:t xml:space="preserve"> </w:t>
      </w:r>
      <w:proofErr w:type="spellStart"/>
      <w:r>
        <w:rPr>
          <w:rStyle w:val="a1"/>
          <w:i/>
          <w:lang w:val="et-EE"/>
        </w:rPr>
        <w:t>Epochen</w:t>
      </w:r>
      <w:proofErr w:type="spellEnd"/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>(</w:t>
      </w:r>
      <w:r>
        <w:rPr>
          <w:rStyle w:val="a1"/>
          <w:lang w:val="et-EE"/>
        </w:rPr>
        <w:t xml:space="preserve">Zürich, 1935; </w:t>
      </w:r>
      <w:r>
        <w:rPr>
          <w:rStyle w:val="a1"/>
          <w:lang w:val="ru-RU"/>
        </w:rPr>
        <w:t>«Судьба германского духа на исходе его гражданской эпохи</w:t>
      </w:r>
      <w:r>
        <w:rPr>
          <w:rStyle w:val="a1"/>
          <w:lang w:val="et-EE"/>
        </w:rPr>
        <w:t>)</w:t>
      </w:r>
      <w:r>
        <w:rPr>
          <w:rStyle w:val="a1"/>
          <w:lang w:val="ru-RU"/>
        </w:rPr>
        <w:t xml:space="preserve">», которые в общем сходны с позицией Бердяева на развитие современного общества. Плеснер считает, что, учитывая новые возможности философия должна вернуться к началам человеческого существования, к ситуации, когда происходит переоценка ценностей и человек стоит перед фактом с осознанием своей свободы выбора, в ситуации, когда нет точных ответов на вопросы, все относительно, все меняется и последняя остановка образует резервацию менталитета личного духа. В заключение Р. </w:t>
      </w:r>
      <w:proofErr w:type="spellStart"/>
      <w:r>
        <w:rPr>
          <w:rStyle w:val="a1"/>
          <w:lang w:val="ru-RU"/>
        </w:rPr>
        <w:t>Нурксе</w:t>
      </w:r>
      <w:proofErr w:type="spellEnd"/>
      <w:r>
        <w:rPr>
          <w:rStyle w:val="a1"/>
          <w:lang w:val="ru-RU"/>
        </w:rPr>
        <w:t xml:space="preserve"> проводит параллель между созвучной судьбой авторов трактатов, названиями и содержанием их опусов. В них критикуется современный мир, формулируются основы релятивизма и экзистенциализма, хотя авторы исходят из разных идеологий, определяемых политическими факторами.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Во второй части Р. </w:t>
      </w:r>
      <w:proofErr w:type="spellStart"/>
      <w:r>
        <w:rPr>
          <w:rStyle w:val="a1"/>
          <w:lang w:val="ru-RU"/>
        </w:rPr>
        <w:t>Нурксе</w:t>
      </w:r>
      <w:proofErr w:type="spellEnd"/>
      <w:r>
        <w:rPr>
          <w:rStyle w:val="a1"/>
          <w:lang w:val="ru-RU"/>
        </w:rPr>
        <w:t xml:space="preserve"> касается взглядов ряда современных философов (Г. де </w:t>
      </w:r>
      <w:proofErr w:type="spellStart"/>
      <w:r>
        <w:rPr>
          <w:rStyle w:val="a1"/>
          <w:lang w:val="ru-RU"/>
        </w:rPr>
        <w:t>Рейнольд</w:t>
      </w:r>
      <w:proofErr w:type="spellEnd"/>
      <w:r>
        <w:rPr>
          <w:rStyle w:val="a1"/>
          <w:lang w:val="ru-RU"/>
        </w:rPr>
        <w:t xml:space="preserve">, И. </w:t>
      </w:r>
      <w:proofErr w:type="spellStart"/>
      <w:r>
        <w:rPr>
          <w:rStyle w:val="a1"/>
          <w:lang w:val="ru-RU"/>
        </w:rPr>
        <w:t>Гуинцинг</w:t>
      </w:r>
      <w:proofErr w:type="spellEnd"/>
      <w:r>
        <w:rPr>
          <w:rStyle w:val="a1"/>
          <w:lang w:val="ru-RU"/>
        </w:rPr>
        <w:t xml:space="preserve">, Г. </w:t>
      </w:r>
      <w:proofErr w:type="spellStart"/>
      <w:r>
        <w:rPr>
          <w:rStyle w:val="a1"/>
          <w:lang w:val="ru-RU"/>
        </w:rPr>
        <w:t>Вёльфлин</w:t>
      </w:r>
      <w:proofErr w:type="spellEnd"/>
      <w:r>
        <w:rPr>
          <w:rStyle w:val="a1"/>
          <w:lang w:val="ru-RU"/>
        </w:rPr>
        <w:t xml:space="preserve">, А. </w:t>
      </w:r>
      <w:proofErr w:type="spellStart"/>
      <w:r>
        <w:rPr>
          <w:rStyle w:val="a1"/>
          <w:lang w:val="ru-RU"/>
        </w:rPr>
        <w:t>Марихалар</w:t>
      </w:r>
      <w:proofErr w:type="spellEnd"/>
      <w:r>
        <w:rPr>
          <w:rStyle w:val="a1"/>
          <w:lang w:val="ru-RU"/>
        </w:rPr>
        <w:t xml:space="preserve">, К. Ясперс, Х. </w:t>
      </w:r>
      <w:proofErr w:type="spellStart"/>
      <w:r>
        <w:rPr>
          <w:rStyle w:val="a1"/>
          <w:lang w:val="ru-RU"/>
        </w:rPr>
        <w:t>Рейхенбах</w:t>
      </w:r>
      <w:proofErr w:type="spellEnd"/>
      <w:r>
        <w:rPr>
          <w:rStyle w:val="a1"/>
          <w:lang w:val="ru-RU"/>
        </w:rPr>
        <w:t>, Ю. Геккель и др.) и их отражения в современной западной литературе.</w:t>
      </w:r>
      <w:r>
        <w:rPr>
          <w:rStyle w:val="a1"/>
          <w:lang w:val="et-EE"/>
        </w:rPr>
        <w:t>]</w:t>
      </w:r>
    </w:p>
    <w:sectPr w:rsidR="00715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B"/>
    <w:rsid w:val="007153FB"/>
    <w:rsid w:val="00AC1A2F"/>
    <w:rsid w:val="00E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A602-3634-454C-8098-50F6335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заголовок"/>
    <w:basedOn w:val="Normal"/>
    <w:next w:val="Normal"/>
    <w:rsid w:val="007153FB"/>
    <w:pPr>
      <w:keepNext/>
      <w:suppressAutoHyphens/>
      <w:autoSpaceDN w:val="0"/>
      <w:spacing w:before="60" w:after="0" w:line="240" w:lineRule="auto"/>
      <w:jc w:val="center"/>
      <w:textAlignment w:val="baseline"/>
    </w:pPr>
    <w:rPr>
      <w:rFonts w:ascii="Liberation Sans" w:eastAsia="Microsoft YaHei" w:hAnsi="Liberation Sans" w:cs="Lucida Sans"/>
      <w:kern w:val="3"/>
      <w:sz w:val="36"/>
      <w:szCs w:val="36"/>
      <w:lang w:eastAsia="zh-CN"/>
    </w:rPr>
  </w:style>
  <w:style w:type="paragraph" w:customStyle="1" w:styleId="a0">
    <w:name w:val="Обычный (веб)"/>
    <w:basedOn w:val="Normal"/>
    <w:rsid w:val="007153F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шрифт абзаца"/>
    <w:rsid w:val="007153FB"/>
  </w:style>
  <w:style w:type="character" w:styleId="Hyperlink">
    <w:name w:val="Hyperlink"/>
    <w:basedOn w:val="DefaultParagraphFont"/>
    <w:uiPriority w:val="99"/>
    <w:semiHidden/>
    <w:unhideWhenUsed/>
    <w:rsid w:val="00AC1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1162</Words>
  <Characters>6629</Characters>
  <Application>Microsoft Office Word</Application>
  <DocSecurity>0</DocSecurity>
  <Lines>55</Lines>
  <Paragraphs>15</Paragraphs>
  <ScaleCrop>false</ScaleCrop>
  <Company>Tartu Ülikool</Company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2017-02-28T09:41:00Z</dcterms:created>
  <dcterms:modified xsi:type="dcterms:W3CDTF">2017-03-02T13:54:00Z</dcterms:modified>
</cp:coreProperties>
</file>