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3C" w:rsidRPr="00085297" w:rsidRDefault="0009533C" w:rsidP="0008529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085297">
        <w:rPr>
          <w:rFonts w:ascii="Times New Roman" w:hAnsi="Times New Roman" w:cs="Times New Roman"/>
          <w:b/>
          <w:iCs/>
          <w:sz w:val="24"/>
          <w:szCs w:val="24"/>
        </w:rPr>
        <w:t>1930</w:t>
      </w:r>
    </w:p>
    <w:p w:rsidR="00085297" w:rsidRDefault="00085297" w:rsidP="0009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5B5" w:rsidRPr="00953676" w:rsidRDefault="007D05B5" w:rsidP="007D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Ajalooline Ajakiri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Исторический журнал. </w:t>
      </w:r>
      <w:r w:rsidRPr="00BA543E">
        <w:rPr>
          <w:rFonts w:ascii="Times New Roman" w:hAnsi="Times New Roman" w:cs="Times New Roman"/>
          <w:sz w:val="24"/>
          <w:szCs w:val="24"/>
        </w:rPr>
        <w:t>9.й год издания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05B5">
        <w:rPr>
          <w:rFonts w:ascii="Times New Roman" w:hAnsi="Times New Roman" w:cs="Times New Roman"/>
          <w:sz w:val="24"/>
          <w:szCs w:val="24"/>
        </w:rPr>
        <w:t xml:space="preserve"> Выходит 4 раза в год</w:t>
      </w:r>
      <w:r w:rsidRPr="00953676">
        <w:rPr>
          <w:rFonts w:ascii="Times New Roman" w:hAnsi="Times New Roman" w:cs="Times New Roman"/>
          <w:sz w:val="24"/>
          <w:szCs w:val="24"/>
        </w:rPr>
        <w:t>.</w:t>
      </w:r>
    </w:p>
    <w:p w:rsidR="007D05B5" w:rsidRPr="007D05B5" w:rsidRDefault="007D05B5" w:rsidP="0009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B5">
        <w:rPr>
          <w:rFonts w:ascii="Times New Roman" w:hAnsi="Times New Roman" w:cs="Times New Roman"/>
          <w:sz w:val="24"/>
          <w:szCs w:val="24"/>
        </w:rPr>
        <w:t>Ответств.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режактор</w:t>
      </w:r>
      <w:r w:rsidR="00085297" w:rsidRPr="00BA543E">
        <w:rPr>
          <w:rFonts w:ascii="Times New Roman" w:hAnsi="Times New Roman" w:cs="Times New Roman"/>
          <w:sz w:val="24"/>
          <w:szCs w:val="24"/>
        </w:rPr>
        <w:t>:</w:t>
      </w:r>
      <w:r w:rsidR="0009533C">
        <w:rPr>
          <w:rFonts w:ascii="Times New Roman" w:hAnsi="Times New Roman" w:cs="Times New Roman"/>
          <w:sz w:val="24"/>
          <w:szCs w:val="24"/>
        </w:rPr>
        <w:t xml:space="preserve"> P. Treiberg, </w:t>
      </w:r>
    </w:p>
    <w:p w:rsidR="00085297" w:rsidRDefault="007D05B5" w:rsidP="0009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B5">
        <w:rPr>
          <w:rFonts w:ascii="Times New Roman" w:hAnsi="Times New Roman" w:cs="Times New Roman"/>
          <w:sz w:val="24"/>
          <w:szCs w:val="24"/>
        </w:rPr>
        <w:t xml:space="preserve">Редколлегия: </w:t>
      </w:r>
      <w:r w:rsidR="0009533C">
        <w:rPr>
          <w:rFonts w:ascii="Times New Roman" w:hAnsi="Times New Roman" w:cs="Times New Roman"/>
          <w:sz w:val="24"/>
          <w:szCs w:val="24"/>
        </w:rPr>
        <w:t xml:space="preserve">H. Kruus, O. Liiv, M. Schmiedehelm. </w:t>
      </w:r>
    </w:p>
    <w:p w:rsidR="0009533C" w:rsidRPr="00953676" w:rsidRDefault="0009533C" w:rsidP="0009533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9533C" w:rsidRDefault="0009533C" w:rsidP="0009533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53676">
        <w:rPr>
          <w:rFonts w:ascii="Times New Roman" w:hAnsi="Times New Roman" w:cs="Times New Roman"/>
          <w:b/>
          <w:color w:val="000000"/>
          <w:sz w:val="24"/>
          <w:szCs w:val="24"/>
        </w:rPr>
        <w:t>H. Sepp</w:t>
      </w:r>
      <w:r w:rsidRPr="009536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477E4">
        <w:rPr>
          <w:rFonts w:ascii="Times New Roman" w:hAnsi="Times New Roman" w:cs="Times New Roman"/>
          <w:color w:val="000000"/>
          <w:sz w:val="24"/>
          <w:szCs w:val="24"/>
        </w:rPr>
        <w:t>Meie sõjaajaloo uurimise seniseist saavutisist ja tuleviku ülesandeist</w:t>
      </w:r>
      <w:r w:rsidRPr="00953676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085297" w:rsidRPr="00BA54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Сепп</w:t>
      </w:r>
      <w:r w:rsidR="00085297" w:rsidRPr="00BA54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953676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современных дост</w:t>
      </w:r>
      <w:r w:rsidRPr="00953676">
        <w:rPr>
          <w:rFonts w:ascii="Times New Roman" w:hAnsi="Times New Roman" w:cs="Times New Roman"/>
          <w:color w:val="000000"/>
          <w:sz w:val="24"/>
          <w:szCs w:val="24"/>
        </w:rPr>
        <w:t xml:space="preserve">ижениях и будущих задачах в исследовании нашей военной истории. </w:t>
      </w:r>
      <w:r w:rsidRPr="00D477E4">
        <w:rPr>
          <w:rFonts w:ascii="Times New Roman" w:hAnsi="Times New Roman" w:cs="Times New Roman"/>
          <w:iCs/>
          <w:sz w:val="24"/>
          <w:szCs w:val="24"/>
        </w:rPr>
        <w:t>// Ajalooline Ajakiri. 1930. Nr. 1</w:t>
      </w:r>
      <w:r w:rsidRPr="00CA5E2D">
        <w:rPr>
          <w:rFonts w:ascii="Times New Roman" w:hAnsi="Times New Roman" w:cs="Times New Roman"/>
          <w:iCs/>
          <w:sz w:val="24"/>
          <w:szCs w:val="24"/>
        </w:rPr>
        <w:t>/2</w:t>
      </w:r>
      <w:r w:rsidRPr="00D477E4">
        <w:rPr>
          <w:rFonts w:ascii="Times New Roman" w:hAnsi="Times New Roman" w:cs="Times New Roman"/>
          <w:iCs/>
          <w:sz w:val="24"/>
          <w:szCs w:val="24"/>
        </w:rPr>
        <w:t xml:space="preserve">. Lk. </w:t>
      </w:r>
      <w:r>
        <w:rPr>
          <w:rFonts w:ascii="Times New Roman" w:hAnsi="Times New Roman" w:cs="Times New Roman"/>
          <w:iCs/>
          <w:sz w:val="24"/>
          <w:szCs w:val="24"/>
        </w:rPr>
        <w:t>19</w:t>
      </w:r>
      <w:r w:rsidR="003E53A1">
        <w:rPr>
          <w:rFonts w:ascii="Times New Roman" w:hAnsi="Times New Roman" w:cs="Times New Roman"/>
          <w:iCs/>
          <w:sz w:val="24"/>
          <w:szCs w:val="24"/>
          <w:lang w:val="ru-RU"/>
        </w:rPr>
        <w:t>—26.</w:t>
      </w:r>
    </w:p>
    <w:p w:rsidR="0009533C" w:rsidRPr="008543E6" w:rsidRDefault="0009533C" w:rsidP="0009533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09533C" w:rsidRDefault="0009533C" w:rsidP="0009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43E6">
        <w:rPr>
          <w:rFonts w:ascii="Times New Roman" w:hAnsi="Times New Roman" w:cs="Times New Roman"/>
          <w:sz w:val="24"/>
          <w:szCs w:val="24"/>
        </w:rPr>
        <w:t>[</w:t>
      </w:r>
      <w:r w:rsidRPr="008543E6">
        <w:rPr>
          <w:rFonts w:ascii="Times New Roman" w:hAnsi="Times New Roman" w:cs="Times New Roman"/>
          <w:sz w:val="24"/>
          <w:szCs w:val="24"/>
          <w:lang w:val="ru-RU"/>
        </w:rPr>
        <w:t xml:space="preserve">Автор выделяет три главных события в эстонской военной истории: война за независимость </w:t>
      </w:r>
      <w:r w:rsidR="0008529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543E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8543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5297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Pr="008543E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muistne Eesti iseseisvuse)</w:t>
      </w:r>
      <w:r w:rsidRPr="008543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также </w:t>
      </w:r>
      <w:r w:rsidRPr="008543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Ливонская (вторая половина 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 xml:space="preserve">XVI </w:t>
      </w:r>
      <w:r w:rsidRPr="008543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в.) и Северная войн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8543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(первая половина 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8543E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8543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статье д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ется обзор основных источников и библиографии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том числе, 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упоминаются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8543E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Акты исторические, собранные и изданные Археографической комиссией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летописи новгородские, псковские, Нестора, Никона и др. Сепп выделяет исторические труды Н.М. Карамзина, С.М. Соловьева, Н.И. Костомарова, а также сочинение Н.Г. Устрялова «История царствования Петра Великого». По мнению автора, меньше всего исследован вопрос о судьбе эстонской земли во время Русско-ливонской войны 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XVI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Здесь 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упомянуты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Ханса Крууса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B6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Kruus</w:t>
      </w:r>
      <w:r w:rsidRPr="004B6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Vene</w:t>
      </w:r>
      <w:r w:rsidRPr="004B6D7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Liivis</w:t>
      </w:r>
      <w:r>
        <w:rPr>
          <w:rFonts w:ascii="Times New Roman" w:hAnsi="Times New Roman" w:cs="Times New Roman"/>
          <w:color w:val="000000"/>
          <w:sz w:val="24"/>
          <w:szCs w:val="24"/>
        </w:rPr>
        <w:t>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</w:t>
      </w:r>
      <w:r w:rsidRPr="004B6D78">
        <w:rPr>
          <w:rFonts w:ascii="Times New Roman" w:hAnsi="Times New Roman" w:cs="Times New Roman"/>
          <w:color w:val="000000"/>
          <w:sz w:val="24"/>
          <w:szCs w:val="24"/>
          <w:lang w:val="ru-RU"/>
        </w:rPr>
        <w:t>”</w:t>
      </w:r>
      <w:r w:rsidR="000852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6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1924), </w:t>
      </w:r>
      <w:r w:rsidR="003E5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Г.В. Форстена</w:t>
      </w:r>
      <w:r w:rsidRPr="004B6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Балтийский вопрос в </w:t>
      </w:r>
      <w:r>
        <w:rPr>
          <w:rFonts w:ascii="Times New Roman" w:hAnsi="Times New Roman" w:cs="Times New Roman"/>
          <w:color w:val="000000"/>
          <w:sz w:val="24"/>
          <w:szCs w:val="24"/>
        </w:rPr>
        <w:t>XVI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XVII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столетиях</w:t>
      </w:r>
      <w:r w:rsidRPr="004B6D78">
        <w:rPr>
          <w:rFonts w:ascii="Times New Roman" w:hAnsi="Times New Roman" w:cs="Times New Roman"/>
          <w:color w:val="000000"/>
          <w:sz w:val="24"/>
          <w:szCs w:val="24"/>
          <w:lang w:val="ru-RU"/>
        </w:rPr>
        <w:t>”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 xml:space="preserve"> (1893—94</w:t>
      </w:r>
      <w:r w:rsidR="003E5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˂полный текст см.: </w:t>
      </w:r>
      <w:hyperlink r:id="rId5" w:history="1">
        <w:r w:rsidR="003E53A1" w:rsidRPr="00AF0F9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http://dspace.ut.ee/handle/10062/25014 </w:t>
        </w:r>
        <w:r w:rsidR="003E53A1" w:rsidRPr="003E53A1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ru-RU"/>
          </w:rPr>
          <w:t>—</w:t>
        </w:r>
        <w:r w:rsidR="003E53A1" w:rsidRPr="003E53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 Т.Г</w:t>
        </w:r>
      </w:hyperlink>
      <w:r w:rsidR="003E53A1">
        <w:rPr>
          <w:rFonts w:ascii="Times New Roman" w:hAnsi="Times New Roman" w:cs="Times New Roman"/>
          <w:color w:val="000000"/>
          <w:sz w:val="24"/>
          <w:szCs w:val="24"/>
          <w:lang w:val="ru-RU"/>
        </w:rPr>
        <w:t>.&gt;) и историко-критическое исследование (диссертация) В. В. Новодворского</w:t>
      </w:r>
      <w:r w:rsidRPr="004B6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Борьба за Ливонию между Москвою и Речью Посполитою</w:t>
      </w:r>
      <w:r w:rsidRPr="004B6D78">
        <w:rPr>
          <w:rFonts w:ascii="Times New Roman" w:hAnsi="Times New Roman" w:cs="Times New Roman"/>
          <w:color w:val="000000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(1904). </w:t>
      </w:r>
      <w:r w:rsidR="003E53A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B6D78">
        <w:rPr>
          <w:rFonts w:ascii="Times New Roman" w:hAnsi="Times New Roman" w:cs="Times New Roman"/>
          <w:color w:val="000000"/>
          <w:sz w:val="24"/>
          <w:szCs w:val="24"/>
        </w:rPr>
        <w:t xml:space="preserve">втор отмечает, что 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 сих пор </w:t>
      </w:r>
      <w:r w:rsidRPr="004B6D78">
        <w:rPr>
          <w:rFonts w:ascii="Times New Roman" w:hAnsi="Times New Roman" w:cs="Times New Roman"/>
          <w:color w:val="000000"/>
          <w:sz w:val="24"/>
          <w:szCs w:val="24"/>
        </w:rPr>
        <w:t>«эстонск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4B6D78">
        <w:rPr>
          <w:rFonts w:ascii="Times New Roman" w:hAnsi="Times New Roman" w:cs="Times New Roman"/>
          <w:color w:val="000000"/>
          <w:sz w:val="24"/>
          <w:szCs w:val="24"/>
        </w:rPr>
        <w:t>» военн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4B6D78">
        <w:rPr>
          <w:rFonts w:ascii="Times New Roman" w:hAnsi="Times New Roman" w:cs="Times New Roman"/>
          <w:color w:val="000000"/>
          <w:sz w:val="24"/>
          <w:szCs w:val="24"/>
        </w:rPr>
        <w:t xml:space="preserve"> истори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Pr="004B6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расматривалась</w:t>
      </w:r>
      <w:r w:rsidR="003E53A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4B6D78">
        <w:rPr>
          <w:rFonts w:ascii="Times New Roman" w:hAnsi="Times New Roman" w:cs="Times New Roman"/>
          <w:color w:val="000000"/>
          <w:sz w:val="24"/>
          <w:szCs w:val="24"/>
        </w:rPr>
        <w:t xml:space="preserve"> в основном</w:t>
      </w:r>
      <w:r w:rsidR="003E53A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4B6D78">
        <w:rPr>
          <w:rFonts w:ascii="Times New Roman" w:hAnsi="Times New Roman" w:cs="Times New Roman"/>
          <w:color w:val="000000"/>
          <w:sz w:val="24"/>
          <w:szCs w:val="24"/>
        </w:rPr>
        <w:t xml:space="preserve"> с точки зрения политической истории (=«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meie sõjaajaloo uurimine</w:t>
      </w:r>
      <w:r w:rsidRPr="004B6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on seni toimunud peamiselt pol</w:t>
      </w:r>
      <w:r w:rsidR="00A54FD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itilise ajaloo vaatekohtadelt</w:t>
      </w:r>
      <w:r w:rsidRPr="004B6D78"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Далее Сепп 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останавливается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исследований, объектом которых явля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военные события, происходившие на территории Эстонии. </w:t>
      </w:r>
      <w:r w:rsidRPr="00714B59">
        <w:rPr>
          <w:rFonts w:ascii="Times New Roman" w:hAnsi="Times New Roman" w:cs="Times New Roman"/>
          <w:color w:val="000000"/>
          <w:sz w:val="24"/>
          <w:szCs w:val="24"/>
        </w:rPr>
        <w:t xml:space="preserve">По мнению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автора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наибольший вклад в изучение </w:t>
      </w:r>
      <w:r w:rsidRPr="00714B59">
        <w:rPr>
          <w:rFonts w:ascii="Times New Roman" w:hAnsi="Times New Roman" w:cs="Times New Roman"/>
          <w:color w:val="000000"/>
          <w:sz w:val="24"/>
          <w:szCs w:val="24"/>
        </w:rPr>
        <w:t>войн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4B59">
        <w:rPr>
          <w:rFonts w:ascii="Times New Roman" w:hAnsi="Times New Roman" w:cs="Times New Roman"/>
          <w:color w:val="000000"/>
          <w:sz w:val="24"/>
          <w:szCs w:val="24"/>
        </w:rPr>
        <w:t xml:space="preserve">между </w:t>
      </w:r>
      <w:r w:rsidR="00B937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орденской </w:t>
      </w:r>
      <w:r w:rsidRPr="00714B59">
        <w:rPr>
          <w:rFonts w:ascii="Times New Roman" w:hAnsi="Times New Roman" w:cs="Times New Roman"/>
          <w:color w:val="000000"/>
          <w:sz w:val="24"/>
          <w:szCs w:val="24"/>
        </w:rPr>
        <w:t>Ливонией (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Vana-Liivimaa</w:t>
      </w:r>
      <w:r w:rsidRPr="00714B59">
        <w:rPr>
          <w:rFonts w:ascii="Times New Roman" w:hAnsi="Times New Roman" w:cs="Times New Roman"/>
          <w:color w:val="000000"/>
          <w:sz w:val="24"/>
          <w:szCs w:val="24"/>
        </w:rPr>
        <w:t xml:space="preserve">) и Псковом, </w:t>
      </w:r>
      <w:r w:rsidR="00B937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позже с </w:t>
      </w:r>
      <w:r w:rsidRPr="00714B59">
        <w:rPr>
          <w:rFonts w:ascii="Times New Roman" w:hAnsi="Times New Roman" w:cs="Times New Roman"/>
          <w:color w:val="000000"/>
          <w:sz w:val="24"/>
          <w:szCs w:val="24"/>
        </w:rPr>
        <w:t>Москвой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внесли прибалтийские историки.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ойны 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ведского периода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937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плодотворно 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изучались шведскими и некоторыми финскими учеными.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усские исследователи 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останавливаются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событиях </w:t>
      </w:r>
      <w:r w:rsidR="00BA543E">
        <w:rPr>
          <w:rFonts w:ascii="Times New Roman" w:hAnsi="Times New Roman" w:cs="Times New Roman"/>
          <w:color w:val="000000"/>
          <w:sz w:val="24"/>
          <w:szCs w:val="24"/>
          <w:lang w:val="ru-RU"/>
        </w:rPr>
        <w:t>«эстонской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военн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истории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крупных общих исторических трудах (= «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Vene uurijad on peatunud meie maa sõjasündmusil peamiselt endi suurtes üldistes ajaloolistes teostes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»). 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оценивая исторические труды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сложившуюся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в описании военной истории на территории Эстони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4C7A2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Сепп конс</w:t>
      </w:r>
      <w:r w:rsidR="003E5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атирует, что 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же что наиболее достоверной и всеобъемлющей базой для будущего изучения военной истории на эстонской территории являются шведские исторические источники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rootslastel on siiski kõige kindlamad ja väärtuslikumad eeldused meie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3E6">
        <w:rPr>
          <w:rFonts w:ascii="Times New Roman" w:hAnsi="Times New Roman" w:cs="Times New Roman"/>
          <w:color w:val="000000"/>
          <w:sz w:val="24"/>
          <w:szCs w:val="24"/>
        </w:rPr>
        <w:t>sõjaajaloo lähemaks uurimiseks ka tulevikus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». </w:t>
      </w:r>
      <w:r w:rsidR="00B937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усские ученые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из-под пера которых в последнее десятилетие не вышло ничего, достойного внимания по данной проблематике,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ближайшем будущем вряд ли будут заниматься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Балтийской истории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поэтому следует сосредоточить свое внимание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научны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</w:t>
      </w:r>
      <w:r w:rsidR="00A54FD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яемых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Северных странах, прежде всего, в Швеции и Финляндии</w:t>
      </w:r>
      <w:r w:rsidRPr="00E57C1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533C" w:rsidRPr="002A508E" w:rsidRDefault="0009533C" w:rsidP="0009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533C" w:rsidRDefault="0009533C" w:rsidP="0009533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33C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H. </w:t>
      </w:r>
      <w:r w:rsidRPr="00AC478A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Kleis. </w:t>
      </w:r>
      <w:r w:rsidRPr="00AC478A">
        <w:rPr>
          <w:rFonts w:ascii="Times New Roman" w:hAnsi="Times New Roman" w:cs="Times New Roman"/>
          <w:b/>
          <w:color w:val="000000"/>
          <w:sz w:val="24"/>
          <w:szCs w:val="24"/>
        </w:rPr>
        <w:t>Akadeemiline Aialoo-Selts 10. tegevusaastal 1929—1930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E6982">
        <w:rPr>
          <w:rFonts w:ascii="Times New Roman" w:hAnsi="Times New Roman" w:cs="Times New Roman"/>
          <w:color w:val="000000"/>
          <w:sz w:val="24"/>
          <w:szCs w:val="24"/>
        </w:rPr>
        <w:t>= Академическое Историческое общество в 10</w:t>
      </w:r>
      <w:r w:rsidR="004B0769">
        <w:rPr>
          <w:rFonts w:ascii="Times New Roman" w:hAnsi="Times New Roman" w:cs="Times New Roman"/>
          <w:color w:val="000000"/>
          <w:sz w:val="24"/>
          <w:szCs w:val="24"/>
          <w:lang w:val="ru-RU"/>
        </w:rPr>
        <w:t>-й</w:t>
      </w:r>
      <w:r w:rsidRPr="004E6982">
        <w:rPr>
          <w:rFonts w:ascii="Times New Roman" w:hAnsi="Times New Roman" w:cs="Times New Roman"/>
          <w:color w:val="000000"/>
          <w:sz w:val="24"/>
          <w:szCs w:val="24"/>
        </w:rPr>
        <w:t xml:space="preserve"> год деятельности 1929-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4E6982">
        <w:rPr>
          <w:rFonts w:ascii="Times New Roman" w:hAnsi="Times New Roman" w:cs="Times New Roman"/>
          <w:color w:val="000000"/>
          <w:sz w:val="24"/>
          <w:szCs w:val="24"/>
        </w:rPr>
        <w:t xml:space="preserve">930. </w:t>
      </w:r>
      <w:r w:rsidRPr="00CF355D">
        <w:rPr>
          <w:rFonts w:ascii="Times New Roman" w:hAnsi="Times New Roman" w:cs="Times New Roman"/>
          <w:iCs/>
          <w:sz w:val="24"/>
          <w:szCs w:val="24"/>
        </w:rPr>
        <w:t xml:space="preserve">// Ajalooline Ajakiri. 1930. Nr. </w:t>
      </w:r>
      <w:r w:rsidRPr="004E6982">
        <w:rPr>
          <w:rFonts w:ascii="Times New Roman" w:hAnsi="Times New Roman" w:cs="Times New Roman"/>
          <w:iCs/>
          <w:sz w:val="24"/>
          <w:szCs w:val="24"/>
        </w:rPr>
        <w:t>3</w:t>
      </w:r>
      <w:r w:rsidRPr="00CF355D">
        <w:rPr>
          <w:rFonts w:ascii="Times New Roman" w:hAnsi="Times New Roman" w:cs="Times New Roman"/>
          <w:iCs/>
          <w:sz w:val="24"/>
          <w:szCs w:val="24"/>
        </w:rPr>
        <w:t>. Lk.</w:t>
      </w:r>
      <w:r w:rsidRPr="004E6982">
        <w:rPr>
          <w:rFonts w:ascii="Times New Roman" w:hAnsi="Times New Roman" w:cs="Times New Roman"/>
          <w:iCs/>
          <w:sz w:val="24"/>
          <w:szCs w:val="24"/>
        </w:rPr>
        <w:t xml:space="preserve"> 155</w:t>
      </w:r>
      <w:r w:rsidR="00AC478A" w:rsidRPr="00BA543E">
        <w:rPr>
          <w:rFonts w:ascii="Times New Roman" w:hAnsi="Times New Roman" w:cs="Times New Roman"/>
          <w:iCs/>
          <w:sz w:val="24"/>
          <w:szCs w:val="24"/>
        </w:rPr>
        <w:t>—1</w:t>
      </w:r>
      <w:r w:rsidRPr="004E6982">
        <w:rPr>
          <w:rFonts w:ascii="Times New Roman" w:hAnsi="Times New Roman" w:cs="Times New Roman"/>
          <w:iCs/>
          <w:sz w:val="24"/>
          <w:szCs w:val="24"/>
        </w:rPr>
        <w:t>69</w:t>
      </w:r>
      <w:r w:rsidRPr="00CF355D">
        <w:rPr>
          <w:rFonts w:ascii="Times New Roman" w:hAnsi="Times New Roman" w:cs="Times New Roman"/>
          <w:iCs/>
          <w:sz w:val="24"/>
          <w:szCs w:val="24"/>
        </w:rPr>
        <w:t>.</w:t>
      </w:r>
    </w:p>
    <w:p w:rsidR="0009533C" w:rsidRPr="00CF355D" w:rsidRDefault="0009533C" w:rsidP="0009533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9533C" w:rsidRDefault="0009533C" w:rsidP="00095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355D">
        <w:rPr>
          <w:rFonts w:ascii="Times New Roman" w:hAnsi="Times New Roman" w:cs="Times New Roman"/>
          <w:sz w:val="24"/>
          <w:szCs w:val="24"/>
        </w:rPr>
        <w:lastRenderedPageBreak/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B11BD">
        <w:rPr>
          <w:rFonts w:ascii="Times New Roman" w:hAnsi="Times New Roman" w:cs="Times New Roman"/>
          <w:color w:val="000000"/>
          <w:sz w:val="24"/>
          <w:szCs w:val="24"/>
        </w:rPr>
        <w:t xml:space="preserve">марта 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4E698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F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B11B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4E6982">
        <w:rPr>
          <w:rFonts w:ascii="Times New Roman" w:hAnsi="Times New Roman" w:cs="Times New Roman"/>
          <w:color w:val="000000"/>
          <w:sz w:val="24"/>
          <w:szCs w:val="24"/>
        </w:rPr>
        <w:t xml:space="preserve"> О. Лийв </w:t>
      </w:r>
      <w:r w:rsidR="00AC478A" w:rsidRPr="00BA543E">
        <w:rPr>
          <w:rFonts w:ascii="Times New Roman" w:hAnsi="Times New Roman" w:cs="Times New Roman"/>
          <w:color w:val="000000"/>
          <w:sz w:val="24"/>
          <w:szCs w:val="24"/>
        </w:rPr>
        <w:t>прочел</w:t>
      </w:r>
      <w:r w:rsidRPr="004E6982">
        <w:rPr>
          <w:rFonts w:ascii="Times New Roman" w:hAnsi="Times New Roman" w:cs="Times New Roman"/>
          <w:color w:val="000000"/>
          <w:sz w:val="24"/>
          <w:szCs w:val="24"/>
        </w:rPr>
        <w:t xml:space="preserve"> доклад «Курьез на Сааремаа из эпохи царствования Николая I» («Kurioosum Nikolai I valitsusajast Saaremalt»)</w:t>
      </w:r>
      <w:r w:rsidRPr="00CF35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E6982">
        <w:rPr>
          <w:rFonts w:ascii="Times New Roman" w:hAnsi="Times New Roman" w:cs="Times New Roman"/>
          <w:color w:val="000000"/>
          <w:sz w:val="24"/>
          <w:szCs w:val="24"/>
        </w:rPr>
        <w:t xml:space="preserve"> октября 1853 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кордоне залива Соэла (</w:t>
      </w:r>
      <w:r w:rsidRPr="00CF355D">
        <w:rPr>
          <w:rFonts w:ascii="Times New Roman" w:hAnsi="Times New Roman" w:cs="Times New Roman"/>
          <w:color w:val="000000"/>
          <w:sz w:val="24"/>
          <w:szCs w:val="24"/>
        </w:rPr>
        <w:t>Soela väina kordonis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праздновалась свадьба, на которой присутствовали в целом верные и спокойные </w:t>
      </w:r>
      <w:r w:rsidR="00AC47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оссийские подданные, благополучно устроившиеся на Сааремаа чиновники. </w:t>
      </w:r>
      <w:r w:rsidR="00BE2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риехавший на </w:t>
      </w:r>
      <w:r w:rsidR="00BE2B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службу 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Сааремаа </w:t>
      </w:r>
      <w:r w:rsidR="00AC47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молодой,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прапорщик Ротмистров предложил поднять тост «за здоровье Украинского оружья» («</w:t>
      </w:r>
      <w:r w:rsidRPr="00CF355D">
        <w:rPr>
          <w:rFonts w:ascii="Times New Roman" w:hAnsi="Times New Roman" w:cs="Times New Roman"/>
          <w:color w:val="000000"/>
          <w:sz w:val="24"/>
          <w:szCs w:val="24"/>
        </w:rPr>
        <w:t>Ukraina relvade terviseks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»)</w:t>
      </w:r>
      <w:r w:rsidRPr="00CF35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47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AC478A" w:rsidRPr="004B11BD">
        <w:rPr>
          <w:rFonts w:ascii="Times New Roman" w:hAnsi="Times New Roman" w:cs="Times New Roman"/>
          <w:color w:val="000000"/>
          <w:sz w:val="24"/>
          <w:szCs w:val="24"/>
        </w:rPr>
        <w:t xml:space="preserve"> пьяном обществе </w:t>
      </w:r>
      <w:r w:rsidR="00AC478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B11BD">
        <w:rPr>
          <w:rFonts w:ascii="Times New Roman" w:hAnsi="Times New Roman" w:cs="Times New Roman"/>
          <w:color w:val="000000"/>
          <w:sz w:val="24"/>
          <w:szCs w:val="24"/>
        </w:rPr>
        <w:t xml:space="preserve">редложение нашло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отклик</w:t>
      </w:r>
      <w:r w:rsidRPr="00CF35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Присутствовавший при этом священник Маленин</w:t>
      </w:r>
      <w:r w:rsidR="00AC47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самом деле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это священник </w:t>
      </w:r>
      <w:r w:rsidR="00AC47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М.А. Малеин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C478A">
        <w:rPr>
          <w:rFonts w:ascii="Times New Roman" w:hAnsi="Times New Roman" w:cs="Times New Roman"/>
          <w:color w:val="000000"/>
          <w:sz w:val="24"/>
          <w:szCs w:val="24"/>
          <w:lang w:val="ru-RU"/>
        </w:rPr>
        <w:t>1825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—1</w:t>
      </w:r>
      <w:r w:rsidR="00AC478A">
        <w:rPr>
          <w:rFonts w:ascii="Times New Roman" w:hAnsi="Times New Roman" w:cs="Times New Roman"/>
          <w:color w:val="000000"/>
          <w:sz w:val="24"/>
          <w:szCs w:val="24"/>
          <w:lang w:val="ru-RU"/>
        </w:rPr>
        <w:t>893, служил на Саарем</w:t>
      </w:r>
      <w:r w:rsidR="00BE2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AC47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в православных приходах Пийла (Каррис) и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Лейзи (Лайсберг) в 1850—56 гг. – </w:t>
      </w:r>
      <w:r w:rsidR="00A03C16" w:rsidRPr="00A03C1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Т.Г.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отправил епископу Рижскому и Митавскому Платону тайную жалобу об этом событии, а также сведения о Ротмистрове, изобразив его свободолюбивым представителем национального меньшинства («</w:t>
      </w:r>
      <w:r w:rsidRPr="00CF355D">
        <w:rPr>
          <w:rFonts w:ascii="Times New Roman" w:hAnsi="Times New Roman" w:cs="Times New Roman"/>
          <w:color w:val="000000"/>
          <w:sz w:val="24"/>
          <w:szCs w:val="24"/>
        </w:rPr>
        <w:t>vabameelse vähemusrahvuslasena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»)</w:t>
      </w:r>
      <w:r w:rsidRPr="00CF35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261C1">
        <w:rPr>
          <w:rFonts w:ascii="Times New Roman" w:hAnsi="Times New Roman" w:cs="Times New Roman"/>
          <w:color w:val="000000"/>
          <w:sz w:val="24"/>
          <w:szCs w:val="24"/>
        </w:rPr>
        <w:t xml:space="preserve">Жалоба была передана Балтийскому генерал-губернатору </w:t>
      </w:r>
      <w:r w:rsidR="00BE2B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</w:t>
      </w:r>
      <w:r w:rsidRPr="002261C1">
        <w:rPr>
          <w:rFonts w:ascii="Times New Roman" w:hAnsi="Times New Roman" w:cs="Times New Roman"/>
          <w:color w:val="000000"/>
          <w:sz w:val="24"/>
          <w:szCs w:val="24"/>
        </w:rPr>
        <w:t>Суворову, который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хотя</w:t>
      </w:r>
      <w:r w:rsidRPr="00226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r w:rsidRPr="002261C1">
        <w:rPr>
          <w:rFonts w:ascii="Times New Roman" w:hAnsi="Times New Roman" w:cs="Times New Roman"/>
          <w:color w:val="000000"/>
          <w:sz w:val="24"/>
          <w:szCs w:val="24"/>
        </w:rPr>
        <w:t xml:space="preserve">ично не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считал</w:t>
      </w:r>
      <w:r w:rsidRPr="002261C1">
        <w:rPr>
          <w:rFonts w:ascii="Times New Roman" w:hAnsi="Times New Roman" w:cs="Times New Roman"/>
          <w:color w:val="000000"/>
          <w:sz w:val="24"/>
          <w:szCs w:val="24"/>
        </w:rPr>
        <w:t xml:space="preserve"> это дело важным, был вынужден дать ему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2261C1">
        <w:rPr>
          <w:rFonts w:ascii="Times New Roman" w:hAnsi="Times New Roman" w:cs="Times New Roman"/>
          <w:color w:val="000000"/>
          <w:sz w:val="24"/>
          <w:szCs w:val="24"/>
        </w:rPr>
        <w:t xml:space="preserve">законный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ход».</w:t>
      </w:r>
      <w:r w:rsidRPr="00CF35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Дело зашло так далеко, что с одобрения императора на Сааремаа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работу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ледственн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участники арестованы.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конце концов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омиссия признала невиновность и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верность трону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подозреваемых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 сказанные Ротмистровом в пьяном виде слова 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случайн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остью</w:t>
      </w:r>
      <w:r w:rsidR="00BE2B4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тем не менее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последовало суровое</w:t>
      </w:r>
      <w:r w:rsidR="00BE2B41" w:rsidRPr="00BE2B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2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наказание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Ротмистрова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BE2B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собственной просьбе назнач</w:t>
      </w:r>
      <w:r w:rsidR="00A03C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службу во внутреннюю охрану под особым надзором. Путкевич и Шварц</w:t>
      </w:r>
      <w:r w:rsidR="00BE2B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были отправлены на поселение под надзор</w:t>
      </w:r>
      <w:r w:rsidR="00BE2B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полиции.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озднее наказание им облегчили, а Александр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D44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даровал им полную свободу</w:t>
      </w:r>
      <w:r w:rsidRPr="00E57C1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02DC5" w:rsidRPr="0009533C" w:rsidRDefault="00CE4F0F">
      <w:pPr>
        <w:rPr>
          <w:lang w:val="ru-RU"/>
        </w:rPr>
      </w:pPr>
    </w:p>
    <w:sectPr w:rsidR="00102DC5" w:rsidRPr="0009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3C"/>
    <w:rsid w:val="000105DE"/>
    <w:rsid w:val="00054A79"/>
    <w:rsid w:val="00085297"/>
    <w:rsid w:val="0009533C"/>
    <w:rsid w:val="00097EA1"/>
    <w:rsid w:val="000B0A7C"/>
    <w:rsid w:val="000C1247"/>
    <w:rsid w:val="000C786F"/>
    <w:rsid w:val="000D7F7C"/>
    <w:rsid w:val="000E3B2A"/>
    <w:rsid w:val="000F6D16"/>
    <w:rsid w:val="00136FDA"/>
    <w:rsid w:val="00150F39"/>
    <w:rsid w:val="0017485A"/>
    <w:rsid w:val="001808B4"/>
    <w:rsid w:val="001C2916"/>
    <w:rsid w:val="001E4058"/>
    <w:rsid w:val="001E4372"/>
    <w:rsid w:val="00226C0C"/>
    <w:rsid w:val="002B7B29"/>
    <w:rsid w:val="002C2DD8"/>
    <w:rsid w:val="002C468E"/>
    <w:rsid w:val="002E50DB"/>
    <w:rsid w:val="002E79D1"/>
    <w:rsid w:val="003008CE"/>
    <w:rsid w:val="00362E3E"/>
    <w:rsid w:val="0036578A"/>
    <w:rsid w:val="003E53A1"/>
    <w:rsid w:val="00422682"/>
    <w:rsid w:val="004420E5"/>
    <w:rsid w:val="00444C7E"/>
    <w:rsid w:val="00452DC5"/>
    <w:rsid w:val="0046562B"/>
    <w:rsid w:val="004B0769"/>
    <w:rsid w:val="004B1138"/>
    <w:rsid w:val="004C7A21"/>
    <w:rsid w:val="00501923"/>
    <w:rsid w:val="0050260F"/>
    <w:rsid w:val="00515439"/>
    <w:rsid w:val="00547ACF"/>
    <w:rsid w:val="00547F2C"/>
    <w:rsid w:val="005D3285"/>
    <w:rsid w:val="00606242"/>
    <w:rsid w:val="006114F9"/>
    <w:rsid w:val="006239AB"/>
    <w:rsid w:val="00635D84"/>
    <w:rsid w:val="00640373"/>
    <w:rsid w:val="006856E6"/>
    <w:rsid w:val="006F7427"/>
    <w:rsid w:val="00713E17"/>
    <w:rsid w:val="00725C18"/>
    <w:rsid w:val="007A71E1"/>
    <w:rsid w:val="007B17C4"/>
    <w:rsid w:val="007D05B5"/>
    <w:rsid w:val="007E4B75"/>
    <w:rsid w:val="007E6C50"/>
    <w:rsid w:val="008A31BE"/>
    <w:rsid w:val="008B01A2"/>
    <w:rsid w:val="008D4E34"/>
    <w:rsid w:val="008E109C"/>
    <w:rsid w:val="008E6C48"/>
    <w:rsid w:val="0090592A"/>
    <w:rsid w:val="00916DE9"/>
    <w:rsid w:val="00933D81"/>
    <w:rsid w:val="00951D5D"/>
    <w:rsid w:val="009B4086"/>
    <w:rsid w:val="00A03C16"/>
    <w:rsid w:val="00A177CD"/>
    <w:rsid w:val="00A54FD8"/>
    <w:rsid w:val="00A62EF4"/>
    <w:rsid w:val="00A76267"/>
    <w:rsid w:val="00A83F45"/>
    <w:rsid w:val="00A87E15"/>
    <w:rsid w:val="00A9646F"/>
    <w:rsid w:val="00AC1E1E"/>
    <w:rsid w:val="00AC478A"/>
    <w:rsid w:val="00AD2F5B"/>
    <w:rsid w:val="00B80FEF"/>
    <w:rsid w:val="00B93708"/>
    <w:rsid w:val="00BA543E"/>
    <w:rsid w:val="00BE2B41"/>
    <w:rsid w:val="00BE306E"/>
    <w:rsid w:val="00BF59F0"/>
    <w:rsid w:val="00C47A13"/>
    <w:rsid w:val="00C9460D"/>
    <w:rsid w:val="00CB0C39"/>
    <w:rsid w:val="00CC45EA"/>
    <w:rsid w:val="00CE4F0F"/>
    <w:rsid w:val="00D0209D"/>
    <w:rsid w:val="00D02A02"/>
    <w:rsid w:val="00D07405"/>
    <w:rsid w:val="00D23678"/>
    <w:rsid w:val="00D67244"/>
    <w:rsid w:val="00DA5ACF"/>
    <w:rsid w:val="00DD7046"/>
    <w:rsid w:val="00DE30B5"/>
    <w:rsid w:val="00E33C27"/>
    <w:rsid w:val="00E65C28"/>
    <w:rsid w:val="00E83493"/>
    <w:rsid w:val="00EB482B"/>
    <w:rsid w:val="00EB4E50"/>
    <w:rsid w:val="00F43DD9"/>
    <w:rsid w:val="00F5012B"/>
    <w:rsid w:val="00F60DF9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pace.ut.ee/handle/10062/25014%20&#8212;%20&#1058;.&#104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Timur Guzairov</cp:lastModifiedBy>
  <cp:revision>2</cp:revision>
  <dcterms:created xsi:type="dcterms:W3CDTF">2017-03-05T09:16:00Z</dcterms:created>
  <dcterms:modified xsi:type="dcterms:W3CDTF">2017-03-05T09:16:00Z</dcterms:modified>
</cp:coreProperties>
</file>